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Юрьевича, </w:t>
      </w:r>
      <w:r>
        <w:rPr>
          <w:rStyle w:val="cat-ExternalSystemDefinedgrp-2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зарегистрированного по адресу: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проживающий по адресу: </w:t>
      </w:r>
      <w:r>
        <w:rPr>
          <w:rStyle w:val="cat-UserDefinedgrp-3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которого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обязательной явки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09.01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явился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обязательную </w:t>
      </w:r>
      <w:r>
        <w:rPr>
          <w:rFonts w:ascii="Times New Roman" w:eastAsia="Times New Roman" w:hAnsi="Times New Roman" w:cs="Times New Roman"/>
          <w:sz w:val="26"/>
          <w:szCs w:val="26"/>
        </w:rPr>
        <w:t>на регистрацию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 по г. Нефтеюганску,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нарушил административное ограничение, установленное судом. Данное бездействие не содержит уголовно наказуемого деяния.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факт совершения правонарушения, вину в его совершении, инвалидом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, 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обстоятельства, изложенные в протоколе об административном правонарушении, подтверждаются рапортом инспектора ГОАН ОУУП и по ДН ОМВД России по г. Нефтеюганску от 28.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УУП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на отдельном бланке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привлечен к административной ответственности по ч. 1 ст. 19.24 КоАП РФ к наказанию в виде административного штрафа; копией регистрационного листа поднадзорного лица,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не явился на регистрацию 20.02.2024; графиком прибытия поднадз</w:t>
      </w:r>
      <w:r>
        <w:rPr>
          <w:rFonts w:ascii="Times New Roman" w:eastAsia="Times New Roman" w:hAnsi="Times New Roman" w:cs="Times New Roman"/>
          <w:sz w:val="26"/>
          <w:szCs w:val="26"/>
        </w:rPr>
        <w:t>орного лица на регистрацию в 1,3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-й вторник месяца с 09:00 до 18:00 с отметкой об ознакомлении с ним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заключением о заведении дела административного надзора; 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предупреждением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03.11.2024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заявлением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 месте его проживания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29.02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 не содержат доказательств уважительности причин неявки на регистрацию, которые могли быть приняты как доказательства невиновности Мамаева Р.А., который обязан соблюдать ограничения, установленные судом.</w:t>
      </w:r>
    </w:p>
    <w:p>
      <w:pPr>
        <w:widowControl w:val="0"/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09.01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 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ареста на срок 10 (десять)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2rplc-54">
    <w:name w:val="cat-UserDefined grp-32 rplc-54"/>
    <w:basedOn w:val="DefaultParagraphFont"/>
  </w:style>
  <w:style w:type="character" w:customStyle="1" w:styleId="cat-UserDefinedgrp-33rplc-57">
    <w:name w:val="cat-UserDefined grp-3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